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708" w:firstLine="708"/>
        <w:rPr>
          <w:b/>
          <w:b/>
          <w:bCs/>
          <w:color w:val="00000A"/>
          <w:sz w:val="36"/>
          <w:szCs w:val="36"/>
        </w:rPr>
      </w:pPr>
      <w:r>
        <w:rPr>
          <w:b/>
          <w:bCs/>
          <w:color w:val="00000A"/>
          <w:sz w:val="36"/>
          <w:szCs w:val="36"/>
        </w:rPr>
        <w:t xml:space="preserve">CURRICULUM VITAE </w:t>
      </w:r>
      <w:r>
        <w:rPr>
          <w:color w:val="00000A"/>
          <w:sz w:val="36"/>
          <w:szCs w:val="36"/>
        </w:rPr>
        <w:t xml:space="preserve">de </w:t>
      </w:r>
      <w:r>
        <w:rPr>
          <w:b/>
          <w:bCs/>
          <w:color w:val="00000A"/>
          <w:sz w:val="36"/>
          <w:szCs w:val="36"/>
        </w:rPr>
        <w:t xml:space="preserve">Caroline Depuydt </w:t>
      </w:r>
    </w:p>
    <w:p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ind w:firstLine="708"/>
        <w:rPr/>
      </w:pPr>
      <w:r>
        <w:rPr>
          <w:color w:val="00000A"/>
          <w:sz w:val="23"/>
          <w:szCs w:val="23"/>
        </w:rPr>
        <w:t xml:space="preserve">Nationalité belge, née à Bruxelles, le 17/11/1976 </w:t>
      </w:r>
    </w:p>
    <w:p>
      <w:pPr>
        <w:pStyle w:val="Default"/>
        <w:ind w:firstLine="708"/>
        <w:rPr/>
      </w:pPr>
      <w:r>
        <w:rPr>
          <w:color w:val="00000A"/>
          <w:sz w:val="23"/>
          <w:szCs w:val="23"/>
        </w:rPr>
        <w:t>mariée, un enfant.</w:t>
      </w:r>
    </w:p>
    <w:p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Adresse : rue des pâquerettes 19 </w:t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1030 Bruxelles </w:t>
      </w:r>
    </w:p>
    <w:p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Téléphone : 02.431.77.00 </w:t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0478/96.18.17 </w:t>
      </w:r>
    </w:p>
    <w:p>
      <w:pPr>
        <w:pStyle w:val="Default"/>
        <w:ind w:firstLine="708"/>
        <w:rPr/>
      </w:pPr>
      <w:r>
        <w:rPr>
          <w:color w:val="00000A"/>
          <w:sz w:val="23"/>
          <w:szCs w:val="23"/>
        </w:rPr>
        <w:t xml:space="preserve">E-mail : </w:t>
      </w:r>
      <w:hyperlink r:id="rId2">
        <w:r>
          <w:rPr>
            <w:rStyle w:val="LienInternet"/>
            <w:sz w:val="23"/>
            <w:szCs w:val="23"/>
          </w:rPr>
          <w:t>c.depuydt@epsylon.be</w:t>
        </w:r>
      </w:hyperlink>
      <w:r>
        <w:rPr>
          <w:color w:val="00000A"/>
          <w:sz w:val="23"/>
          <w:szCs w:val="23"/>
        </w:rPr>
        <w:t xml:space="preserve"> </w:t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ind w:firstLine="708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rPr>
          <w:color w:val="5B9BD5" w:themeColor="accent1"/>
          <w:sz w:val="32"/>
          <w:szCs w:val="32"/>
          <w:u w:val="single"/>
        </w:rPr>
      </w:pPr>
      <w:r>
        <w:rPr>
          <w:color w:val="5B9BD5" w:themeColor="accent1"/>
          <w:sz w:val="32"/>
          <w:szCs w:val="32"/>
          <w:u w:val="single"/>
        </w:rPr>
        <w:t xml:space="preserve">Occupations professionnelles actuelles </w:t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numPr>
          <w:ilvl w:val="0"/>
          <w:numId w:val="3"/>
        </w:numPr>
        <w:rPr>
          <w:color w:val="00000A"/>
        </w:rPr>
      </w:pPr>
      <w:r>
        <w:rPr>
          <w:color w:val="5B9BD5" w:themeColor="accent1"/>
        </w:rPr>
        <w:t>Epsylon ASBL</w:t>
      </w:r>
      <w:r>
        <w:rPr>
          <w:color w:val="00000A"/>
        </w:rPr>
        <w:t xml:space="preserve">: Chef de service à ¾ temps hospitalier à l’Hôpital d’Accueil Spécialisé de la clinique Fond’Roy (Groupe Epsylon) dans le cadre des hospitalisations sous contrainte selon la loi du 26 juin 1990 relative à la protection de la personne malade mentale. Depuis 2006.                                                                                                                                   -     Responsable projet qualité-contrainte : groupe privation de liberté. </w:t>
      </w:r>
    </w:p>
    <w:p>
      <w:pPr>
        <w:pStyle w:val="Default"/>
        <w:numPr>
          <w:ilvl w:val="0"/>
          <w:numId w:val="6"/>
        </w:numPr>
        <w:rPr/>
      </w:pPr>
      <w:r>
        <w:rPr>
          <w:color w:val="00000A"/>
        </w:rPr>
        <w:t>Membre du Conseil Jeunes Adultes.</w:t>
      </w:r>
    </w:p>
    <w:p>
      <w:pPr>
        <w:pStyle w:val="Default"/>
        <w:numPr>
          <w:ilvl w:val="0"/>
          <w:numId w:val="6"/>
        </w:numPr>
        <w:rPr/>
      </w:pPr>
      <w:r>
        <w:rPr>
          <w:color w:val="00000A"/>
        </w:rPr>
        <w:t>Référent médical pour la formation Pegase (gestion de l’agressivité).</w:t>
      </w:r>
    </w:p>
    <w:p>
      <w:pPr>
        <w:pStyle w:val="Default"/>
        <w:numPr>
          <w:ilvl w:val="0"/>
          <w:numId w:val="6"/>
        </w:numPr>
        <w:rPr/>
      </w:pPr>
      <w:r>
        <w:rPr>
          <w:color w:val="00000A"/>
        </w:rPr>
        <w:t>Cours dans le cadre de la formation continue en psychiatrie pour le personnel d’Epsylon : gestion de la crise et pharmacologie.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3"/>
        </w:numPr>
        <w:rPr/>
      </w:pPr>
      <w:r>
        <w:rPr>
          <w:color w:val="00000A"/>
        </w:rPr>
        <w:t xml:space="preserve">¼ temps </w:t>
      </w:r>
      <w:r>
        <w:rPr>
          <w:color w:val="5B9BD5" w:themeColor="accent1"/>
        </w:rPr>
        <w:t xml:space="preserve">consultations ambulatoires </w:t>
      </w:r>
      <w:r>
        <w:rPr>
          <w:color w:val="00000A"/>
        </w:rPr>
        <w:t>en psychiatrie adulte générale. Depuis 2006.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3"/>
        </w:numPr>
        <w:rPr/>
      </w:pPr>
      <w:r>
        <w:rPr>
          <w:color w:val="00000A"/>
        </w:rPr>
        <w:t xml:space="preserve">Membre du </w:t>
      </w:r>
      <w:r>
        <w:rPr>
          <w:color w:val="729FCF"/>
        </w:rPr>
        <w:t xml:space="preserve">Conseil d’Administration Epsylon ASBL </w:t>
      </w:r>
      <w:r>
        <w:rPr>
          <w:color w:val="00000A"/>
        </w:rPr>
        <w:t>(mai 2018) et membre d</w:t>
      </w:r>
      <w:r>
        <w:rPr>
          <w:color w:val="00000A"/>
        </w:rPr>
        <w:t>u</w:t>
      </w:r>
      <w:r>
        <w:rPr>
          <w:color w:val="00000A"/>
        </w:rPr>
        <w:t xml:space="preserve"> c</w:t>
      </w:r>
      <w:r>
        <w:rPr>
          <w:color w:val="00000A"/>
        </w:rPr>
        <w:t>omité</w:t>
      </w:r>
      <w:r>
        <w:rPr>
          <w:color w:val="00000A"/>
        </w:rPr>
        <w:t xml:space="preserve"> stratégique du CA (avec le directeur médical et le directeur général, </w:t>
      </w:r>
      <w:r>
        <w:rPr>
          <w:color w:val="00000A"/>
        </w:rPr>
        <w:t>janvier 2020</w:t>
      </w:r>
      <w:r>
        <w:rPr>
          <w:color w:val="00000A"/>
        </w:rPr>
        <w:t>).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3"/>
        </w:numPr>
        <w:rPr>
          <w:color w:val="00000A"/>
        </w:rPr>
      </w:pPr>
      <w:r>
        <w:rPr>
          <w:color w:val="00000A"/>
        </w:rPr>
        <w:t xml:space="preserve">Présidente du Conseil d’Administration des </w:t>
      </w:r>
      <w:r>
        <w:rPr>
          <w:color w:val="5B9BD5" w:themeColor="accent1"/>
        </w:rPr>
        <w:t>Services de Santé Mentale sectorisés Forest, Uccle, Watermael-Boitsfort ASBL</w:t>
      </w:r>
      <w:r>
        <w:rPr>
          <w:color w:val="00000A"/>
        </w:rPr>
        <w:t xml:space="preserve"> depuis 2013. Membre du Conseil d’Administration depuis 2008.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3"/>
        </w:numPr>
        <w:rPr>
          <w:color w:val="00000A"/>
        </w:rPr>
      </w:pPr>
      <w:r>
        <w:rPr>
          <w:color w:val="5B9BD5" w:themeColor="accent1"/>
        </w:rPr>
        <w:t>Plate-forme de Concertation pour la Santé Mentale Bruxelles</w:t>
      </w:r>
      <w:r>
        <w:rPr>
          <w:color w:val="00000A"/>
        </w:rPr>
        <w:t xml:space="preserve">                                          - Membre du Conseil d’Administration  (2010).                                                                        - Membre du groupe de concertation Mise en Observation (2006).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 </w:t>
      </w:r>
    </w:p>
    <w:p>
      <w:pPr>
        <w:pStyle w:val="Default"/>
        <w:numPr>
          <w:ilvl w:val="0"/>
          <w:numId w:val="3"/>
        </w:numPr>
        <w:rPr>
          <w:color w:val="00000A"/>
        </w:rPr>
      </w:pPr>
      <w:r>
        <w:rPr>
          <w:color w:val="5B9BD5" w:themeColor="accent1"/>
        </w:rPr>
        <w:t xml:space="preserve">ABSYM </w:t>
      </w:r>
      <w:r>
        <w:rPr>
          <w:color w:val="000000"/>
        </w:rPr>
        <w:t>(Association Belge des Syndicats Médicaux) </w:t>
      </w:r>
      <w:r>
        <w:rPr>
          <w:color w:val="00000A"/>
        </w:rPr>
        <w:t>:</w:t>
      </w:r>
    </w:p>
    <w:p>
      <w:pPr>
        <w:pStyle w:val="Default"/>
        <w:numPr>
          <w:ilvl w:val="0"/>
          <w:numId w:val="2"/>
        </w:numPr>
        <w:rPr>
          <w:color w:val="00000A"/>
        </w:rPr>
      </w:pPr>
      <w:r>
        <w:rPr>
          <w:color w:val="00000A"/>
        </w:rPr>
        <w:t xml:space="preserve">Membre de l’ABSYM depuis 2006. </w:t>
      </w:r>
    </w:p>
    <w:p>
      <w:pPr>
        <w:pStyle w:val="Default"/>
        <w:numPr>
          <w:ilvl w:val="0"/>
          <w:numId w:val="2"/>
        </w:numPr>
        <w:rPr/>
      </w:pPr>
      <w:r>
        <w:rPr>
          <w:color w:val="00000A"/>
        </w:rPr>
        <w:t xml:space="preserve">Membre du Conseil d’Administration et Vice Présidente  pour la chambre de Bruxelles de l’ABSYM (mai 2015). </w:t>
      </w:r>
    </w:p>
    <w:p>
      <w:pPr>
        <w:pStyle w:val="Default"/>
        <w:numPr>
          <w:ilvl w:val="0"/>
          <w:numId w:val="2"/>
        </w:numPr>
        <w:rPr/>
      </w:pPr>
      <w:r>
        <w:rPr>
          <w:color w:val="00000A"/>
        </w:rPr>
        <w:t>Membre du Conseil d’Administration de l’ABSYM fédérale (mai 2015).</w:t>
      </w:r>
    </w:p>
    <w:p>
      <w:pPr>
        <w:pStyle w:val="Default"/>
        <w:numPr>
          <w:ilvl w:val="0"/>
          <w:numId w:val="2"/>
        </w:numPr>
        <w:rPr>
          <w:color w:val="00000A"/>
        </w:rPr>
      </w:pPr>
      <w:r>
        <w:rPr>
          <w:color w:val="00000A"/>
        </w:rPr>
        <w:t>Présidente de la commission mono-spécialisée psychiatrie de l’ABSYM fédérale. (membre depuis 2015, présidente depuis septembre 2017).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4"/>
        </w:numPr>
        <w:rPr>
          <w:color w:val="00000A"/>
        </w:rPr>
      </w:pPr>
      <w:r>
        <w:rPr>
          <w:color w:val="5B9BD5" w:themeColor="accent1"/>
        </w:rPr>
        <w:t>GIBBIS</w:t>
      </w:r>
      <w:r>
        <w:rPr>
          <w:color w:val="00000A"/>
        </w:rPr>
        <w:t xml:space="preserve"> (Gezondheidsinstellingen Brussel Bruxelles Institutions de Santé) :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>Membre du Conseil d’Administration de la plate-forme de concertation bruxelloise pour la Santé Mentale au nom de GIBBIS (2010).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>Participation aux réunions du  groupe Santé Mentale de GIBBIS.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4"/>
        </w:numPr>
        <w:rPr>
          <w:color w:val="00000A"/>
        </w:rPr>
      </w:pPr>
      <w:r>
        <w:rPr>
          <w:color w:val="00000A"/>
        </w:rPr>
        <w:t xml:space="preserve">Membre effectif du </w:t>
      </w:r>
      <w:r>
        <w:rPr>
          <w:color w:val="5B9BD5" w:themeColor="accent1"/>
        </w:rPr>
        <w:t>Conseil Technique Médical de l’INAMI</w:t>
      </w:r>
      <w:r>
        <w:rPr>
          <w:color w:val="00000A"/>
        </w:rPr>
        <w:t xml:space="preserve"> (janvier 2015).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4"/>
        </w:numPr>
        <w:rPr>
          <w:color w:val="00000A"/>
        </w:rPr>
      </w:pPr>
      <w:r>
        <w:rPr>
          <w:color w:val="5B9BD5" w:themeColor="accent1"/>
        </w:rPr>
        <w:t>Projet 107, réforme des soins en Santé Mentale </w:t>
      </w:r>
      <w:r>
        <w:rPr>
          <w:color w:val="00000A"/>
        </w:rPr>
        <w:t>: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Membre du comité régional bruxellois pour la réforme de Santé mentale (2015).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>Membre de Rezone, sous-réseau bruxellois, zone Sud-Ouest de Bruxelles (2016).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5"/>
        </w:numPr>
        <w:rPr/>
      </w:pPr>
      <w:r>
        <w:rPr>
          <w:color w:val="00000A"/>
        </w:rPr>
        <w:t xml:space="preserve">Membre effectif de la </w:t>
      </w:r>
      <w:r>
        <w:rPr>
          <w:color w:val="5B9BD5" w:themeColor="accent1"/>
        </w:rPr>
        <w:t>Commission Fédérale pour l</w:t>
      </w:r>
      <w:r>
        <w:rPr>
          <w:color w:val="729FCF"/>
        </w:rPr>
        <w:t>es professions d</w:t>
      </w:r>
      <w:r>
        <w:rPr>
          <w:color w:val="5B9BD5" w:themeColor="accent1"/>
        </w:rPr>
        <w:t xml:space="preserve">e soins en Santé Mentale </w:t>
      </w:r>
      <w:r>
        <w:rPr>
          <w:color w:val="00000A"/>
        </w:rPr>
        <w:t>(juin 2017).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5"/>
        </w:numPr>
        <w:rPr/>
      </w:pPr>
      <w:r>
        <w:rPr>
          <w:color w:val="00000A"/>
        </w:rPr>
        <w:t xml:space="preserve">Membre effectif de </w:t>
      </w:r>
      <w:r>
        <w:rPr>
          <w:color w:val="00000A"/>
          <w:sz w:val="24"/>
          <w:szCs w:val="24"/>
        </w:rPr>
        <w:t xml:space="preserve">la </w:t>
      </w:r>
      <w:r>
        <w:rPr>
          <w:b w:val="false"/>
          <w:i w:val="false"/>
          <w:caps w:val="false"/>
          <w:smallCaps w:val="false"/>
          <w:color w:val="729FCF"/>
          <w:spacing w:val="0"/>
          <w:sz w:val="24"/>
          <w:szCs w:val="24"/>
        </w:rPr>
        <w:t>commission d’agrément en Psychiatrie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 xml:space="preserve"> auprès de la Fédération Wallonie-Bruxelles (décembre 2018).</w:t>
      </w:r>
    </w:p>
    <w:p>
      <w:pPr>
        <w:pStyle w:val="Defaul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</w:r>
    </w:p>
    <w:p>
      <w:pPr>
        <w:pStyle w:val="Default"/>
        <w:numPr>
          <w:ilvl w:val="0"/>
          <w:numId w:val="5"/>
        </w:numPr>
        <w:rPr/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Membre effectif du</w:t>
      </w:r>
      <w:r>
        <w:rPr>
          <w:b w:val="false"/>
          <w:i w:val="false"/>
          <w:caps w:val="false"/>
          <w:smallCaps w:val="false"/>
          <w:color w:val="00B0F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729FCF"/>
          <w:spacing w:val="0"/>
          <w:sz w:val="24"/>
          <w:szCs w:val="24"/>
        </w:rPr>
        <w:t xml:space="preserve">CFEH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(Conseil Fédéral des Etablissements Hospitaliers) pour l’activité médicale (février 2019).</w:t>
      </w:r>
    </w:p>
    <w:p>
      <w:pPr>
        <w:pStyle w:val="Default"/>
        <w:rPr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</w:r>
    </w:p>
    <w:p>
      <w:pPr>
        <w:pStyle w:val="Default"/>
        <w:numPr>
          <w:ilvl w:val="0"/>
          <w:numId w:val="5"/>
        </w:numPr>
        <w:rPr/>
      </w:pP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 xml:space="preserve">Co-présidente du </w:t>
      </w:r>
      <w:r>
        <w:rPr>
          <w:b w:val="false"/>
          <w:i w:val="false"/>
          <w:caps w:val="false"/>
          <w:smallCaps w:val="false"/>
          <w:color w:val="729FCF"/>
          <w:spacing w:val="0"/>
          <w:sz w:val="24"/>
          <w:szCs w:val="24"/>
        </w:rPr>
        <w:t xml:space="preserve">groupe de travail « fonction médicale , projet 107 »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au sein de l’organe de concertation fédéral (février 2019).</w:t>
      </w:r>
    </w:p>
    <w:p>
      <w:pPr>
        <w:pStyle w:val="Default"/>
        <w:numPr>
          <w:ilvl w:val="0"/>
          <w:numId w:val="0"/>
        </w:numPr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5B9BD5" w:themeColor="accent1"/>
          <w:sz w:val="32"/>
          <w:szCs w:val="32"/>
          <w:u w:val="single"/>
        </w:rPr>
        <w:t xml:space="preserve">Occupations professionnelles antérieures </w:t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numPr>
          <w:ilvl w:val="0"/>
          <w:numId w:val="1"/>
        </w:numPr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Professeur de psychiatrie générale aux étudiants infirmiers à la Haute Ecole Léonard de Vinci. De 2006 à 2010.</w:t>
      </w:r>
    </w:p>
    <w:p>
      <w:pPr>
        <w:pStyle w:val="Default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Expert invité au Conseil Supérieur de la Santé (juin 2014) groupe soins psychiatriques sous contrainte.</w:t>
      </w:r>
    </w:p>
    <w:p>
      <w:pPr>
        <w:pStyle w:val="ListParagrap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5B9BD5" w:themeColor="accent1"/>
          <w:sz w:val="32"/>
          <w:szCs w:val="32"/>
          <w:u w:val="single"/>
        </w:rPr>
        <w:t>Formation</w:t>
      </w:r>
      <w:r>
        <w:rPr>
          <w:color w:val="00000A"/>
          <w:sz w:val="32"/>
          <w:szCs w:val="32"/>
          <w:u w:val="single"/>
        </w:rPr>
        <w:t xml:space="preserve"> </w:t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Obtention du grade de docteur en médecine en juin 2001 avec la plus grande distinction (UCL). 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Obtention du titre de psychiatre en octobre 2006 (UCL). 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Participation aux séminaires de formation à la psychanalyse à l’Association Freudienne de Belgique : 2002 à 2005. </w:t>
      </w:r>
    </w:p>
    <w:p>
      <w:pPr>
        <w:pStyle w:val="Default"/>
        <w:rPr>
          <w:color w:val="00000A"/>
        </w:rPr>
      </w:pPr>
      <w:r>
        <w:rPr>
          <w:color w:val="00000A"/>
        </w:rPr>
        <w:t>Psychanalyse individuelle (1999-2007).</w:t>
      </w:r>
    </w:p>
    <w:p>
      <w:pPr>
        <w:pStyle w:val="Default"/>
        <w:rPr>
          <w:color w:val="00000A"/>
        </w:rPr>
      </w:pPr>
      <w:r>
        <w:rPr>
          <w:color w:val="00000A"/>
        </w:rPr>
        <w:t>Supervision individuelle (2002-2008).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9"/>
        </w:numPr>
        <w:rPr>
          <w:color w:val="00000A"/>
        </w:rPr>
      </w:pPr>
      <w:r>
        <w:rPr>
          <w:color w:val="5B9BD5" w:themeColor="accent1"/>
        </w:rPr>
        <w:t>Assistanat</w:t>
      </w:r>
      <w:r>
        <w:rPr>
          <w:color w:val="00000A"/>
        </w:rPr>
        <w:t xml:space="preserve">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1ère année (2001-2002): Clinique Saint-Pierre, Ottignies. Service de psychiatrie aiguë, urgences, psychiatrie de liaison, consultations ambulatoires.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2ème année (2002-2003) : Groupe Hospitalier La Ramée Fond’Roy, Clinique La Ramée, Bruxelles. Service de psychiatrie aiguë et troubles liés aux dépendances, consultations ambulatoires.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3ème année (2003-2004): Groupe Hospitalier La Ramée Fond’Roy , Clinique Fond’Roy, Bruxelles. Service des hospitalisations à moyen et long terme, hôpital de jour « Le Quotidien » (8 mois), Hôpital d’Accueil Spécialisé (5 mois), consultations ambulatoires.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4ème année (2004-2005) : Cliniques Universitaires Saint-Luc, unité d’urgences et de crise psychiatriques (mi-temps). Centre de Santé Mentale « Le Grès », consultations ambulatoires (mi-temps). Bruxelles. </w:t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5ème année (2005-2006) : Cliniques Universitaires Saint-Luc, unité d’urgences et de crise psychiatriques (mi-temps). Centre de Santé Mentale « Le Grès », consultations ambulatoires (mi-temps). Bruxelles.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5B9BD5" w:themeColor="accent1"/>
          <w:sz w:val="32"/>
          <w:szCs w:val="32"/>
          <w:u w:val="single"/>
        </w:rPr>
        <w:t>Communications</w:t>
      </w:r>
      <w:r>
        <w:rPr>
          <w:color w:val="00000A"/>
          <w:sz w:val="32"/>
          <w:szCs w:val="32"/>
          <w:u w:val="single"/>
        </w:rPr>
        <w:t xml:space="preserve"> </w:t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Depuydt C, Derely M. </w:t>
      </w:r>
      <w:r>
        <w:rPr>
          <w:i/>
          <w:iCs/>
          <w:color w:val="00000A"/>
        </w:rPr>
        <w:t>A partir du concept de gestion par projet : rôle de l’infirmier référent dans l’accompagnement du patient hospitalisé</w:t>
      </w:r>
      <w:r>
        <w:rPr>
          <w:color w:val="00000A"/>
        </w:rPr>
        <w:t xml:space="preserve">. 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XXIIes journées de la Société de l’Information Psychiatrique : place de l’hospitalisation à temps plein dans les soins en psychiatrie. Etat actuel. 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1er-4 octobre 2003, Tours, France.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Depuydt C, Dubois V, Brusselmans M, Bertrand C. </w:t>
      </w:r>
      <w:r>
        <w:rPr>
          <w:i/>
          <w:iCs/>
          <w:color w:val="00000A"/>
        </w:rPr>
        <w:t>La loi de protection de la personne du malade mental en Belgique : analyse de la procédure urgente</w:t>
      </w:r>
      <w:r>
        <w:rPr>
          <w:color w:val="00000A"/>
        </w:rPr>
        <w:t xml:space="preserve">. 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Congrès International Interdisciplinaire sur les Urgences. </w:t>
      </w:r>
    </w:p>
    <w:p>
      <w:pPr>
        <w:pStyle w:val="Default"/>
        <w:rPr>
          <w:color w:val="00000A"/>
        </w:rPr>
      </w:pPr>
      <w:r>
        <w:rPr>
          <w:color w:val="00000A"/>
        </w:rPr>
        <w:t>26-30 juin 2005, Montréal, Canada.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Depuydt C. </w:t>
      </w:r>
      <w:r>
        <w:rPr>
          <w:i/>
          <w:color w:val="00000A"/>
        </w:rPr>
        <w:t>Utilisation des neuroleptiques dans les soins contraints</w:t>
      </w:r>
      <w:r>
        <w:rPr>
          <w:color w:val="00000A"/>
        </w:rPr>
        <w:t>. 17.06.2011, présentation aux urgences somatiques de l’Hôpital de Braine l’Alleud.</w:t>
      </w:r>
    </w:p>
    <w:p>
      <w:pPr>
        <w:pStyle w:val="Default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1"/>
        </w:numPr>
        <w:spacing w:before="0" w:after="27"/>
        <w:rPr>
          <w:color w:val="00000A"/>
        </w:rPr>
      </w:pPr>
      <w:r>
        <w:rPr>
          <w:color w:val="00000A"/>
        </w:rPr>
        <w:t xml:space="preserve">Comité scientifique, Comité d’organisation et modérations d’intervention dans plusieurs colloques </w:t>
      </w:r>
    </w:p>
    <w:p>
      <w:pPr>
        <w:pStyle w:val="Default"/>
        <w:numPr>
          <w:ilvl w:val="0"/>
          <w:numId w:val="5"/>
        </w:numPr>
        <w:spacing w:before="0" w:after="27"/>
        <w:rPr>
          <w:color w:val="00000A"/>
        </w:rPr>
      </w:pPr>
      <w:r>
        <w:rPr>
          <w:color w:val="00000A"/>
        </w:rPr>
        <w:t xml:space="preserve">16 novembre 2010 « </w:t>
      </w:r>
      <w:r>
        <w:rPr>
          <w:i/>
          <w:color w:val="00000A"/>
        </w:rPr>
        <w:t>Corps et psychiatrie, un couple embarrassant</w:t>
      </w:r>
      <w:r>
        <w:rPr>
          <w:color w:val="00000A"/>
        </w:rPr>
        <w:t xml:space="preserve"> » </w:t>
      </w:r>
    </w:p>
    <w:p>
      <w:pPr>
        <w:pStyle w:val="Default"/>
        <w:numPr>
          <w:ilvl w:val="0"/>
          <w:numId w:val="5"/>
        </w:numPr>
        <w:spacing w:before="0" w:after="27"/>
        <w:rPr>
          <w:color w:val="00000A"/>
        </w:rPr>
      </w:pPr>
      <w:r>
        <w:rPr>
          <w:color w:val="00000A"/>
        </w:rPr>
        <w:t xml:space="preserve">13 décembre 2012 « </w:t>
      </w:r>
      <w:r>
        <w:rPr>
          <w:i/>
          <w:color w:val="00000A"/>
        </w:rPr>
        <w:t>Soins sous contrainte : notre folie au pied du mur</w:t>
      </w:r>
      <w:r>
        <w:rPr>
          <w:color w:val="00000A"/>
        </w:rPr>
        <w:t xml:space="preserve"> » </w:t>
      </w:r>
    </w:p>
    <w:p>
      <w:pPr>
        <w:pStyle w:val="Default"/>
        <w:numPr>
          <w:ilvl w:val="0"/>
          <w:numId w:val="7"/>
        </w:numPr>
        <w:spacing w:before="0" w:after="27"/>
        <w:rPr>
          <w:color w:val="00000A"/>
        </w:rPr>
      </w:pPr>
      <w:r>
        <w:rPr>
          <w:color w:val="00000A"/>
        </w:rPr>
        <w:t xml:space="preserve">14-16 novembre 2013 « </w:t>
      </w:r>
      <w:r>
        <w:rPr>
          <w:i/>
          <w:color w:val="00000A"/>
        </w:rPr>
        <w:t>Penser la psychose, savoirs et pratiques</w:t>
      </w:r>
      <w:r>
        <w:rPr>
          <w:color w:val="00000A"/>
        </w:rPr>
        <w:t xml:space="preserve"> » </w:t>
      </w:r>
    </w:p>
    <w:p>
      <w:pPr>
        <w:pStyle w:val="Default"/>
        <w:numPr>
          <w:ilvl w:val="0"/>
          <w:numId w:val="7"/>
        </w:numPr>
        <w:spacing w:before="0" w:after="27"/>
        <w:rPr>
          <w:color w:val="00000A"/>
        </w:rPr>
      </w:pPr>
      <w:r>
        <w:rPr>
          <w:color w:val="00000A"/>
        </w:rPr>
        <w:t>18 mars 2014 « M</w:t>
      </w:r>
      <w:r>
        <w:rPr>
          <w:i/>
          <w:color w:val="00000A"/>
        </w:rPr>
        <w:t>odernité, scientificité et liens transférentiels : des oxymores ?</w:t>
      </w:r>
      <w:r>
        <w:rPr>
          <w:color w:val="00000A"/>
        </w:rPr>
        <w:t xml:space="preserve"> »</w:t>
      </w:r>
    </w:p>
    <w:p>
      <w:pPr>
        <w:pStyle w:val="Default"/>
        <w:spacing w:before="0" w:after="27"/>
        <w:rPr>
          <w:color w:val="00000A"/>
        </w:rPr>
      </w:pPr>
      <w:r>
        <w:rPr>
          <w:color w:val="00000A"/>
        </w:rPr>
        <w:t xml:space="preserve"> </w:t>
      </w:r>
    </w:p>
    <w:p>
      <w:pPr>
        <w:pStyle w:val="Default"/>
        <w:numPr>
          <w:ilvl w:val="0"/>
          <w:numId w:val="1"/>
        </w:numPr>
        <w:spacing w:before="0" w:after="27"/>
        <w:rPr>
          <w:color w:val="00000A"/>
        </w:rPr>
      </w:pPr>
      <w:r>
        <w:rPr>
          <w:color w:val="00000A"/>
        </w:rPr>
        <w:t xml:space="preserve">Depuydt C. </w:t>
      </w:r>
      <w:r>
        <w:rPr>
          <w:i/>
          <w:color w:val="00000A"/>
        </w:rPr>
        <w:t>Soins psychiatriques sous contrainte : pratiques et défis bruxellois</w:t>
      </w:r>
      <w:r>
        <w:rPr>
          <w:color w:val="00000A"/>
        </w:rPr>
        <w:t xml:space="preserve">. Octobre 2015 « 25 ans de la plateforme bruxelloise de concertation en santé mentale » </w:t>
      </w:r>
    </w:p>
    <w:p>
      <w:pPr>
        <w:pStyle w:val="Default"/>
        <w:spacing w:before="0" w:after="27"/>
        <w:rPr>
          <w:color w:val="00000A"/>
        </w:rPr>
      </w:pPr>
      <w:r>
        <w:rPr>
          <w:color w:val="00000A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Depuydt C. </w:t>
      </w:r>
      <w:r>
        <w:rPr>
          <w:rFonts w:cs="Times New Roman" w:ascii="Times New Roman" w:hAnsi="Times New Roman"/>
          <w:i/>
          <w:sz w:val="24"/>
          <w:szCs w:val="24"/>
          <w:lang w:val="fr-FR"/>
        </w:rPr>
        <w:t>On n’a que les mots : clarifier les définitions pour mieux comprendre.</w:t>
      </w:r>
      <w:r>
        <w:rPr>
          <w:rFonts w:cs="Times New Roman" w:ascii="Times New Roman" w:hAnsi="Times New Roman"/>
          <w:sz w:val="24"/>
          <w:szCs w:val="24"/>
          <w:lang w:val="fr-F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11/12/2015 congrès du Conseil Supérieur de la Santé « intervention sous contrainte en psychiatrie, est-ce fou d’en parler ? »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fr-FR"/>
        </w:rPr>
        <w:t>Depuydt C.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  <w:lang w:val="fr-FR"/>
        </w:rPr>
        <w:t xml:space="preserve"> Associer contrainte et suivi ambulatoire en psychiatrie : mythe ou réalité ?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14 mai 2018, 116ème congrès du CPNLF et  52ème congrès de l’AMPQ, 14-16 mai 2018, Bastia, France.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fr-F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fr-FR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Depuydt C.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 xml:space="preserve">Les nouvelles modalités de financement du médecin, le développement des réseaux et les prises en charge à domicile, exemple du projet 107 en psychiatrie. 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  <w:szCs w:val="24"/>
          <w:u w:val="none"/>
          <w:lang w:val="fr-FR"/>
        </w:rPr>
        <w:t>« les fonctions cliniques et le financement du psychiatre : quelles orientations et quels points d’attention retenir pour les autres spécialités ». S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>éminaire Absym Bruxelles : Le grand défi : financement du médecin hospitalier intramuros et en réseau de soins ambulatoires. Bruxelles, 21 avril 2018.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fr-F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 xml:space="preserve">Depuydt C, Van Nieuwenhuise N, Hubert T  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  <w:szCs w:val="24"/>
          <w:u w:val="none"/>
          <w:lang w:val="fr-FR"/>
        </w:rPr>
        <w:t>« Dans la forêt touffue de l’informatisation, les généralistes et les spécialistes sont les hôtes de ces bois : ils s’y faufilent tant bien que mal 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>. Séminaire Absym Bruxelles « L’e Santé pour les nuls – Vices et Vertus », Bruxelles le 09 juin 2018.</w:t>
      </w:r>
    </w:p>
    <w:p>
      <w:pPr>
        <w:pStyle w:val="ListParagrap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fr-F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lang w:val="fr-FR"/>
        </w:rPr>
        <w:t>Interventions prévues en 2019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>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Depuydt C et Dr KHaled Leîla «</w:t>
      </w:r>
      <w:r>
        <w:rPr>
          <w:i/>
          <w:iCs/>
          <w:sz w:val="24"/>
          <w:szCs w:val="24"/>
        </w:rPr>
        <w:t> Le buzz autour du CBD ! Comment intégrer ce débat dans notre pratique en psychiatrie ? </w:t>
      </w:r>
      <w:r>
        <w:rPr>
          <w:sz w:val="24"/>
          <w:szCs w:val="24"/>
        </w:rPr>
        <w:t>» 26 septembre 2019 organisé par Epsylon ASBL.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Depuydt C « </w:t>
      </w:r>
      <w:r>
        <w:rPr>
          <w:i/>
          <w:iCs/>
          <w:sz w:val="24"/>
          <w:szCs w:val="24"/>
        </w:rPr>
        <w:t>Hyppocrate brûle-t-il ? Burn Out chez les médecins </w:t>
      </w:r>
      <w:r>
        <w:rPr>
          <w:sz w:val="24"/>
          <w:szCs w:val="24"/>
        </w:rPr>
        <w:t>» 19 octobre 2019, organisé par ABSYM Bruxelles.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>Depuydt C «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u w:val="none"/>
          <w:lang w:val="fr-FR"/>
        </w:rPr>
        <w:t> Schizophrénie, pharmacologie et alliance thérapeutique : comment décider du traitement le plus approprié ?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fr-FR"/>
        </w:rPr>
        <w:t>» 23 novembre 2019 , matinée organisée par le CHIREC « questions de psychopharmacologie »</w:t>
      </w:r>
    </w:p>
    <w:p>
      <w:pPr>
        <w:pStyle w:val="Default"/>
        <w:rPr>
          <w:rFonts w:ascii="Times New Roman" w:hAnsi="Times New Roman"/>
          <w:b w:val="false"/>
          <w:b w:val="false"/>
          <w:bCs w:val="false"/>
          <w:i/>
          <w:i/>
          <w:iCs/>
          <w:color w:val="00000A"/>
          <w:sz w:val="24"/>
          <w:szCs w:val="24"/>
          <w:u w:val="none"/>
        </w:rPr>
      </w:pPr>
      <w:r>
        <w:rPr>
          <w:b w:val="false"/>
          <w:bCs w:val="false"/>
          <w:i/>
          <w:iCs/>
          <w:color w:val="00000A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>
          <w:color w:val="00000A"/>
        </w:rPr>
      </w:pPr>
      <w:r>
        <w:rPr>
          <w:color w:val="00000A"/>
        </w:rPr>
      </w:r>
      <w:r>
        <w:br w:type="page"/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/>
      </w:pPr>
      <w:r>
        <w:rPr>
          <w:color w:val="5B9BD5" w:themeColor="accent1"/>
          <w:sz w:val="32"/>
          <w:szCs w:val="32"/>
          <w:u w:val="single"/>
        </w:rPr>
        <w:t xml:space="preserve">Publications </w:t>
      </w:r>
    </w:p>
    <w:p>
      <w:pPr>
        <w:pStyle w:val="Default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 xml:space="preserve">Depuydt C, Reynaert C. </w:t>
      </w:r>
      <w:r>
        <w:rPr>
          <w:i/>
          <w:iCs/>
          <w:color w:val="00000A"/>
        </w:rPr>
        <w:t>La prescription de neuroleptiques atypiques chez la personne âgée démente</w:t>
      </w:r>
      <w:r>
        <w:rPr>
          <w:color w:val="00000A"/>
        </w:rPr>
        <w:t xml:space="preserve">. Louvain Médical 123, oct 2004. 320-324.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 xml:space="preserve">Depuydt C, Derely M. </w:t>
      </w:r>
      <w:r>
        <w:rPr>
          <w:i/>
          <w:iCs/>
          <w:color w:val="00000A"/>
        </w:rPr>
        <w:t>Le rôle de l’infirmier référent lors d’une hospitalisation</w:t>
      </w:r>
      <w:r>
        <w:rPr>
          <w:color w:val="00000A"/>
        </w:rPr>
        <w:t xml:space="preserve">. Soins Psychiatrie 236, janv 2005. 39-42. 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 xml:space="preserve">Depuydt C, Goffinet S. </w:t>
      </w:r>
      <w:r>
        <w:rPr>
          <w:i/>
          <w:iCs/>
          <w:color w:val="00000A"/>
        </w:rPr>
        <w:t>Folie à deux : historique et illustration clinique</w:t>
      </w:r>
      <w:r>
        <w:rPr>
          <w:color w:val="00000A"/>
        </w:rPr>
        <w:t xml:space="preserve">. Acta Psychiatrica Belgica 104/3, 2004. 131-138. 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 xml:space="preserve">Lorant V, Depuydt C, Gillain B, Guillet A, Dubois V. </w:t>
      </w:r>
      <w:r>
        <w:rPr>
          <w:i/>
          <w:iCs/>
          <w:color w:val="00000A"/>
        </w:rPr>
        <w:t xml:space="preserve">Involuntary commitment in psychiatric care: what drives the decision? </w:t>
      </w:r>
      <w:r>
        <w:rPr>
          <w:color w:val="00000A"/>
        </w:rPr>
        <w:t xml:space="preserve">Social Psychiatry and Psychiatric Epidemiology, 2007. 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>Goffinet S, Depuydt C, Beine A L</w:t>
      </w:r>
      <w:r>
        <w:rPr>
          <w:i/>
          <w:color w:val="00000A"/>
        </w:rPr>
        <w:t>es limites de l’expertise psychiatrique dans l’évaluation de la dangerosité juvénile</w:t>
      </w:r>
      <w:r>
        <w:rPr>
          <w:color w:val="00000A"/>
        </w:rPr>
        <w:t xml:space="preserve">. In violences juvéniles sous expertise : XIX-XXI eme siècles par A. François, V Massin, D Niget (p 249-267) 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>Depuydt C, Brusselmans M , Bertrand C, Dubois V. L</w:t>
      </w:r>
      <w:r>
        <w:rPr>
          <w:i/>
          <w:color w:val="00000A"/>
        </w:rPr>
        <w:t xml:space="preserve">a loi de protection de la personne malade mentale en Belgique : devenir des procédures en institution psychiatrique. </w:t>
      </w:r>
      <w:r>
        <w:rPr>
          <w:color w:val="00000A"/>
        </w:rPr>
        <w:t xml:space="preserve">In Acta Psychiatrica Belgica n°108 (2), 2008 p13-20. 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>
          <w:color w:val="00000A"/>
        </w:rPr>
      </w:pPr>
      <w:r>
        <w:rPr>
          <w:color w:val="00000A"/>
        </w:rPr>
        <w:t xml:space="preserve">Collectif dirigée par C Depuydt </w:t>
      </w:r>
      <w:r>
        <w:rPr>
          <w:i/>
          <w:color w:val="00000A"/>
        </w:rPr>
        <w:t>« Soins sous contrainte : notre folie au pied du mur. Abstract Book du congrès du 13.12.12</w:t>
      </w:r>
      <w:r>
        <w:rPr>
          <w:color w:val="00000A"/>
        </w:rPr>
        <w:t xml:space="preserve"> ».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Default"/>
        <w:numPr>
          <w:ilvl w:val="0"/>
          <w:numId w:val="8"/>
        </w:numPr>
        <w:rPr/>
      </w:pPr>
      <w:r>
        <w:rPr>
          <w:color w:val="00000A"/>
        </w:rPr>
        <w:t xml:space="preserve">Struye A, Depuydt C, Dubois V. </w:t>
      </w:r>
      <w:r>
        <w:rPr>
          <w:i/>
          <w:color w:val="00000A"/>
        </w:rPr>
        <w:t>Toxic Epidermal Necrolysis Related to Paliperidone Palmitate, First Case Report</w:t>
      </w:r>
      <w:r>
        <w:rPr>
          <w:color w:val="00000A"/>
        </w:rPr>
        <w:t xml:space="preserve">. Journal of Clinical Psychopharmacology n°36 (3), 2016, p1-3.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Corps"/>
        <w:numPr>
          <w:ilvl w:val="0"/>
          <w:numId w:val="8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Candelas M., Depuydt C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  <w:lang w:val="fr-FR"/>
        </w:rPr>
        <w:t xml:space="preserve">La mesure de maintien dans le cadre de la loi relative à la protection de la personne des malades mentaux: quelle </w:t>
      </w:r>
      <w:r>
        <w:rPr>
          <w:rFonts w:cs="Times New Roman" w:ascii="Times New Roman" w:hAnsi="Times New Roman"/>
          <w:i/>
          <w:sz w:val="24"/>
          <w:szCs w:val="24"/>
        </w:rPr>
        <w:t>réalité de terrain?</w:t>
      </w:r>
      <w:r>
        <w:rPr>
          <w:rFonts w:cs="Times New Roman" w:ascii="Times New Roman" w:hAnsi="Times New Roman"/>
          <w:sz w:val="24"/>
          <w:szCs w:val="24"/>
        </w:rPr>
        <w:t xml:space="preserve"> Acta Psychiatrica Belgica n°3, vol 117, 2017, p29-35.</w:t>
      </w:r>
    </w:p>
    <w:p>
      <w:pPr>
        <w:pStyle w:val="Default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5B9BD5" w:themeColor="accent1"/>
          <w:sz w:val="32"/>
          <w:szCs w:val="32"/>
          <w:u w:val="single"/>
        </w:rPr>
        <w:t>Langues</w:t>
      </w:r>
      <w:r>
        <w:rPr>
          <w:color w:val="00000A"/>
          <w:sz w:val="32"/>
          <w:szCs w:val="32"/>
          <w:u w:val="single"/>
        </w:rPr>
        <w:t xml:space="preserve"> </w:t>
      </w:r>
    </w:p>
    <w:p>
      <w:pPr>
        <w:pStyle w:val="Default"/>
        <w:rPr>
          <w:color w:val="00000A"/>
        </w:rPr>
      </w:pPr>
      <w:r>
        <w:rPr>
          <w:color w:val="5B9BD5" w:themeColor="accent1"/>
        </w:rPr>
        <w:t>Français</w:t>
      </w:r>
      <w:r>
        <w:rPr>
          <w:color w:val="00000A"/>
        </w:rPr>
        <w:t xml:space="preserve">: langue maternelle. </w:t>
      </w:r>
    </w:p>
    <w:p>
      <w:pPr>
        <w:pStyle w:val="Default"/>
        <w:rPr>
          <w:color w:val="00000A"/>
        </w:rPr>
      </w:pPr>
      <w:r>
        <w:rPr>
          <w:color w:val="5B9BD5" w:themeColor="accent1"/>
        </w:rPr>
        <w:t>Anglais</w:t>
      </w:r>
      <w:r>
        <w:rPr>
          <w:color w:val="00000A"/>
        </w:rPr>
        <w:t xml:space="preserve">: Bonne compréhension et expression orale et écrite.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5B9BD5" w:themeColor="accent1"/>
          <w:sz w:val="24"/>
          <w:szCs w:val="24"/>
        </w:rPr>
        <w:t>Néerlandais</w:t>
      </w:r>
      <w:r>
        <w:rPr>
          <w:rFonts w:cs="Times New Roman" w:ascii="Times New Roman" w:hAnsi="Times New Roman"/>
          <w:sz w:val="24"/>
          <w:szCs w:val="24"/>
        </w:rPr>
        <w:t xml:space="preserve"> :Bonne compréhension orale et écrite.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color w:val="729FCF"/>
          <w:sz w:val="32"/>
          <w:szCs w:val="32"/>
          <w:u w:val="single"/>
        </w:rPr>
      </w:pPr>
      <w:r>
        <w:rPr>
          <w:rFonts w:ascii="Times New Roman" w:hAnsi="Times New Roman"/>
          <w:color w:val="729FCF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color w:val="729FCF"/>
          <w:sz w:val="32"/>
          <w:szCs w:val="32"/>
          <w:u w:val="single"/>
        </w:rPr>
        <w:t>Hobbies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Tennis, marcher dans la nature, méditation</w:t>
      </w: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3"/>
        <w:b w:val="false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16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71601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imes New Roman" w:hAnsi="Times New Roman" w:eastAsia="Calibri" w:cs="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"/>
      <w:b w:val="false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"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"/>
      <w:b w:val="false"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Times New Roman" w:hAnsi="Times New Roman" w:cs=""/>
      <w:sz w:val="24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"/>
      <w:b w:val="false"/>
      <w:sz w:val="24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ascii="Times New Roman" w:hAnsi="Times New Roman" w:cs=""/>
      <w:sz w:val="24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"/>
      <w:b w:val="false"/>
      <w:sz w:val="24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ascii="Times New Roman" w:hAnsi="Times New Roman" w:cs=""/>
      <w:sz w:val="24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sz w:val="23"/>
      <w:szCs w:val="23"/>
    </w:rPr>
  </w:style>
  <w:style w:type="character" w:styleId="ListLabel389">
    <w:name w:val="ListLabel 389"/>
    <w:qFormat/>
    <w:rPr>
      <w:rFonts w:ascii="Calibri" w:hAnsi="Calibri" w:cs=""/>
      <w:b w:val="false"/>
      <w:sz w:val="24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ascii="Times New Roman" w:hAnsi="Times New Roman" w:cs=""/>
      <w:sz w:val="24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sz w:val="23"/>
      <w:szCs w:val="23"/>
    </w:rPr>
  </w:style>
  <w:style w:type="character" w:styleId="ListLabel471">
    <w:name w:val="ListLabel 471"/>
    <w:qFormat/>
    <w:rPr>
      <w:rFonts w:cs=""/>
      <w:b w:val="false"/>
      <w:sz w:val="23"/>
    </w:rPr>
  </w:style>
  <w:style w:type="character" w:styleId="ListLabel472">
    <w:name w:val="ListLabel 472"/>
    <w:qFormat/>
    <w:rPr>
      <w:rFonts w:cs="Courier New"/>
    </w:rPr>
  </w:style>
  <w:style w:type="character" w:styleId="ListLabel473">
    <w:name w:val="ListLabel 473"/>
    <w:qFormat/>
    <w:rPr>
      <w:rFonts w:cs="Wingdings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Courier New"/>
    </w:rPr>
  </w:style>
  <w:style w:type="character" w:styleId="ListLabel476">
    <w:name w:val="ListLabel 476"/>
    <w:qFormat/>
    <w:rPr>
      <w:rFonts w:cs="Wingdings"/>
    </w:rPr>
  </w:style>
  <w:style w:type="character" w:styleId="ListLabel477">
    <w:name w:val="ListLabel 477"/>
    <w:qFormat/>
    <w:rPr>
      <w:rFonts w:cs="Symbol"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Courier New"/>
    </w:rPr>
  </w:style>
  <w:style w:type="character" w:styleId="ListLabel509">
    <w:name w:val="ListLabel 509"/>
    <w:qFormat/>
    <w:rPr>
      <w:rFonts w:cs="Wingdings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Courier New"/>
    </w:rPr>
  </w:style>
  <w:style w:type="character" w:styleId="ListLabel515">
    <w:name w:val="ListLabel 515"/>
    <w:qFormat/>
    <w:rPr>
      <w:rFonts w:cs="Wingdings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Courier New"/>
    </w:rPr>
  </w:style>
  <w:style w:type="character" w:styleId="ListLabel518">
    <w:name w:val="ListLabel 518"/>
    <w:qFormat/>
    <w:rPr>
      <w:rFonts w:cs="Wingdings"/>
    </w:rPr>
  </w:style>
  <w:style w:type="character" w:styleId="ListLabel519">
    <w:name w:val="ListLabel 519"/>
    <w:qFormat/>
    <w:rPr>
      <w:rFonts w:cs="Symbol"/>
    </w:rPr>
  </w:style>
  <w:style w:type="character" w:styleId="ListLabel520">
    <w:name w:val="ListLabel 520"/>
    <w:qFormat/>
    <w:rPr>
      <w:rFonts w:cs="Courier New"/>
    </w:rPr>
  </w:style>
  <w:style w:type="character" w:styleId="ListLabel521">
    <w:name w:val="ListLabel 521"/>
    <w:qFormat/>
    <w:rPr>
      <w:rFonts w:cs="Wingdings"/>
    </w:rPr>
  </w:style>
  <w:style w:type="character" w:styleId="ListLabel522">
    <w:name w:val="ListLabel 522"/>
    <w:qFormat/>
    <w:rPr>
      <w:rFonts w:cs="Symbol"/>
    </w:rPr>
  </w:style>
  <w:style w:type="character" w:styleId="ListLabel523">
    <w:name w:val="ListLabel 523"/>
    <w:qFormat/>
    <w:rPr>
      <w:rFonts w:cs="Courier New"/>
    </w:rPr>
  </w:style>
  <w:style w:type="character" w:styleId="ListLabel524">
    <w:name w:val="ListLabel 524"/>
    <w:qFormat/>
    <w:rPr>
      <w:rFonts w:cs="Wingdings"/>
    </w:rPr>
  </w:style>
  <w:style w:type="character" w:styleId="ListLabel525">
    <w:name w:val="ListLabel 525"/>
    <w:qFormat/>
    <w:rPr>
      <w:rFonts w:cs="Symbol"/>
    </w:rPr>
  </w:style>
  <w:style w:type="character" w:styleId="ListLabel526">
    <w:name w:val="ListLabel 526"/>
    <w:qFormat/>
    <w:rPr>
      <w:rFonts w:cs="Courier New"/>
    </w:rPr>
  </w:style>
  <w:style w:type="character" w:styleId="ListLabel527">
    <w:name w:val="ListLabel 527"/>
    <w:qFormat/>
    <w:rPr>
      <w:rFonts w:cs="Wingdings"/>
    </w:rPr>
  </w:style>
  <w:style w:type="character" w:styleId="ListLabel528">
    <w:name w:val="ListLabel 528"/>
    <w:qFormat/>
    <w:rPr>
      <w:rFonts w:cs="Symbol"/>
    </w:rPr>
  </w:style>
  <w:style w:type="character" w:styleId="ListLabel529">
    <w:name w:val="ListLabel 529"/>
    <w:qFormat/>
    <w:rPr>
      <w:rFonts w:cs="Courier New"/>
    </w:rPr>
  </w:style>
  <w:style w:type="character" w:styleId="ListLabel530">
    <w:name w:val="ListLabel 530"/>
    <w:qFormat/>
    <w:rPr>
      <w:rFonts w:cs="Wingdings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Courier New"/>
    </w:rPr>
  </w:style>
  <w:style w:type="character" w:styleId="ListLabel533">
    <w:name w:val="ListLabel 533"/>
    <w:qFormat/>
    <w:rPr>
      <w:rFonts w:cs="Wingdings"/>
    </w:rPr>
  </w:style>
  <w:style w:type="character" w:styleId="ListLabel534">
    <w:name w:val="ListLabel 534"/>
    <w:qFormat/>
    <w:rPr>
      <w:rFonts w:cs=""/>
      <w:sz w:val="24"/>
    </w:rPr>
  </w:style>
  <w:style w:type="character" w:styleId="ListLabel535">
    <w:name w:val="ListLabel 535"/>
    <w:qFormat/>
    <w:rPr>
      <w:rFonts w:cs="Courier New"/>
    </w:rPr>
  </w:style>
  <w:style w:type="character" w:styleId="ListLabel536">
    <w:name w:val="ListLabel 536"/>
    <w:qFormat/>
    <w:rPr>
      <w:rFonts w:cs="Wingdings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sz w:val="23"/>
      <w:szCs w:val="23"/>
    </w:rPr>
  </w:style>
  <w:style w:type="character" w:styleId="ListLabel553">
    <w:name w:val="ListLabel 553"/>
    <w:qFormat/>
    <w:rPr>
      <w:rFonts w:cs=""/>
      <w:b w:val="false"/>
      <w:sz w:val="23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"/>
      <w:sz w:val="24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sz w:val="23"/>
      <w:szCs w:val="23"/>
    </w:rPr>
  </w:style>
  <w:style w:type="character" w:styleId="ListLabel635">
    <w:name w:val="ListLabel 635"/>
    <w:qFormat/>
    <w:rPr>
      <w:rFonts w:cs=""/>
      <w:b w:val="false"/>
      <w:sz w:val="23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</w:rPr>
  </w:style>
  <w:style w:type="character" w:styleId="ListLabel644">
    <w:name w:val="ListLabel 644"/>
    <w:qFormat/>
    <w:rPr>
      <w:rFonts w:cs="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</w:rPr>
  </w:style>
  <w:style w:type="character" w:styleId="ListLabel647">
    <w:name w:val="ListLabel 647"/>
    <w:qFormat/>
    <w:rPr>
      <w:rFonts w:cs="Symbol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Wingdings"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Wingdings"/>
    </w:rPr>
  </w:style>
  <w:style w:type="character" w:styleId="ListLabel653">
    <w:name w:val="ListLabel 653"/>
    <w:qFormat/>
    <w:rPr>
      <w:rFonts w:cs="Symbol"/>
    </w:rPr>
  </w:style>
  <w:style w:type="character" w:styleId="ListLabel654">
    <w:name w:val="ListLabel 654"/>
    <w:qFormat/>
    <w:rPr>
      <w:rFonts w:cs="Courier New"/>
    </w:rPr>
  </w:style>
  <w:style w:type="character" w:styleId="ListLabel655">
    <w:name w:val="ListLabel 655"/>
    <w:qFormat/>
    <w:rPr>
      <w:rFonts w:cs="Wingdings"/>
    </w:rPr>
  </w:style>
  <w:style w:type="character" w:styleId="ListLabel656">
    <w:name w:val="ListLabel 656"/>
    <w:qFormat/>
    <w:rPr>
      <w:rFonts w:cs="Symbol"/>
    </w:rPr>
  </w:style>
  <w:style w:type="character" w:styleId="ListLabel657">
    <w:name w:val="ListLabel 657"/>
    <w:qFormat/>
    <w:rPr>
      <w:rFonts w:cs="Courier New"/>
    </w:rPr>
  </w:style>
  <w:style w:type="character" w:styleId="ListLabel658">
    <w:name w:val="ListLabel 658"/>
    <w:qFormat/>
    <w:rPr>
      <w:rFonts w:cs="Wingdings"/>
    </w:rPr>
  </w:style>
  <w:style w:type="character" w:styleId="ListLabel659">
    <w:name w:val="ListLabel 659"/>
    <w:qFormat/>
    <w:rPr>
      <w:rFonts w:cs="Symbol"/>
    </w:rPr>
  </w:style>
  <w:style w:type="character" w:styleId="ListLabel660">
    <w:name w:val="ListLabel 660"/>
    <w:qFormat/>
    <w:rPr>
      <w:rFonts w:cs="Courier New"/>
    </w:rPr>
  </w:style>
  <w:style w:type="character" w:styleId="ListLabel661">
    <w:name w:val="ListLabel 661"/>
    <w:qFormat/>
    <w:rPr>
      <w:rFonts w:cs="Wingdings"/>
    </w:rPr>
  </w:style>
  <w:style w:type="character" w:styleId="ListLabel662">
    <w:name w:val="ListLabel 662"/>
    <w:qFormat/>
    <w:rPr>
      <w:rFonts w:cs="Symbol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"/>
      <w:sz w:val="24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cs="Symbol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Wingdings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Courier New"/>
    </w:rPr>
  </w:style>
  <w:style w:type="character" w:styleId="ListLabel709">
    <w:name w:val="ListLabel 709"/>
    <w:qFormat/>
    <w:rPr>
      <w:rFonts w:cs="Wingdings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Wingdings"/>
    </w:rPr>
  </w:style>
  <w:style w:type="character" w:styleId="ListLabel716">
    <w:name w:val="ListLabel 716"/>
    <w:qFormat/>
    <w:rPr>
      <w:sz w:val="23"/>
      <w:szCs w:val="23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7160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BE" w:eastAsia="en-US" w:bidi="ar-SA"/>
    </w:rPr>
  </w:style>
  <w:style w:type="paragraph" w:styleId="ListParagraph">
    <w:name w:val="List Paragraph"/>
    <w:basedOn w:val="Normal"/>
    <w:uiPriority w:val="34"/>
    <w:qFormat/>
    <w:rsid w:val="00a71601"/>
    <w:pPr>
      <w:spacing w:before="0" w:after="200"/>
      <w:ind w:left="720" w:hanging="0"/>
      <w:contextualSpacing/>
    </w:pPr>
    <w:rPr/>
  </w:style>
  <w:style w:type="paragraph" w:styleId="Corps" w:customStyle="1">
    <w:name w:val="Corps"/>
    <w:qFormat/>
    <w:rsid w:val="00a71601"/>
    <w:pPr>
      <w:widowControl w:val="false"/>
      <w:bidi w:val="0"/>
      <w:spacing w:lineRule="auto" w:line="276" w:before="0" w:after="0"/>
      <w:jc w:val="left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fr-BE" w:eastAsia="fr-BE" w:bidi="ar-SA"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.depuydt@epsylon.b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LibreOffice/6.1.5.2$Windows_X86_64 LibreOffice_project/90f8dcf33c87b3705e78202e3df5142b201bd805</Application>
  <Pages>6</Pages>
  <Words>1396</Words>
  <Characters>7838</Characters>
  <CharactersWithSpaces>9393</CharactersWithSpaces>
  <Paragraphs>88</Paragraphs>
  <Company>Epsylon ASBL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2017-11-03T10:43:00Z</dcterms:created>
  <dc:creator>Caroline Depuydt</dc:creator>
  <dc:description/>
  <dc:language>fr-BE</dc:language>
  <cp:lastModifiedBy/>
  <dcterms:modified xsi:type="dcterms:W3CDTF">2020-04-03T14:34:46Z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Epsylon ASBL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